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Style w:val="Tabela-Siatka"/>
        <w:tblW w:w="93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5"/>
        <w:gridCol w:w="6666"/>
        <w:gridCol w:w="258"/>
      </w:tblGrid>
      <w:tr>
        <w:trPr/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right="180" w:hanging="0"/>
              <w:jc w:val="center"/>
              <w:rPr>
                <w:b/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Protokół odbioru prac wykonawcy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pl-PL" w:eastAsia="en-US"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 ramach Programu Priorytetowego „Czyste Powietrze”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pl-PL" w:eastAsia="en-US"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b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pl-PL" w:eastAsia="en-US"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A.DANE OGÓLNE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Numer umowy o dofinansowanie/numer wniosku o dofinansowanie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6924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cs="Times New Roman"/>
          <w:b/>
          <w:b/>
          <w:color w:val="000000"/>
          <w:sz w:val="10"/>
          <w:szCs w:val="10"/>
        </w:rPr>
      </w:pPr>
      <w:r>
        <w:rPr>
          <w:rFonts w:cs="Times New Roman"/>
          <w:b/>
          <w:color w:val="000000"/>
          <w:sz w:val="10"/>
          <w:szCs w:val="10"/>
        </w:rPr>
        <w:drawing>
          <wp:anchor behindDoc="0" distT="0" distB="0" distL="114300" distR="0" simplePos="0" locked="0" layoutInCell="0" allowOverlap="1" relativeHeight="7">
            <wp:simplePos x="0" y="0"/>
            <wp:positionH relativeFrom="margin">
              <wp:align>right</wp:align>
            </wp:positionH>
            <wp:positionV relativeFrom="paragraph">
              <wp:posOffset>-1268730</wp:posOffset>
            </wp:positionV>
            <wp:extent cx="5761355" cy="737870"/>
            <wp:effectExtent l="0" t="0" r="0" b="0"/>
            <wp:wrapTopAndBottom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a-Siatka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5"/>
        <w:gridCol w:w="3118"/>
        <w:gridCol w:w="3828"/>
      </w:tblGrid>
      <w:tr>
        <w:trPr/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Data i miejsce sporządzenia protokołu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6946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Termin wykonania prac (wpisać datę rozpoczęcia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i zakończenia )</w:t>
            </w:r>
          </w:p>
        </w:tc>
        <w:tc>
          <w:tcPr>
            <w:tcW w:w="3118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 xml:space="preserve">Data rozpoczęcia </w:t>
            </w:r>
          </w:p>
        </w:tc>
        <w:tc>
          <w:tcPr>
            <w:tcW w:w="3828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Data zakończenia</w:t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Adres budynku/lokalu mieszkalnego w którym wykonano prace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6946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1412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Nazwa i adres wykonawcy prac  (pieczęć firmowa wykonawcy)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6946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Imię i nazwisko odbiorcy prac (Beneficjenta)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6946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rFonts w:cs="Times New Roman"/>
          <w:b/>
          <w:b/>
          <w:color w:val="000000"/>
        </w:rPr>
      </w:pPr>
      <w:r>
        <w:rPr>
          <w:b/>
        </w:rPr>
        <w:t>B. ZAKRES WYKONANYCH PRAC</w:t>
      </w:r>
    </w:p>
    <w:p>
      <w:pPr>
        <w:pStyle w:val="Normal"/>
        <w:spacing w:lineRule="auto" w:line="240" w:before="0" w:after="0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tbl>
      <w:tblPr>
        <w:tblStyle w:val="Tabela-Siatka"/>
        <w:tblW w:w="932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9"/>
        <w:gridCol w:w="2942"/>
      </w:tblGrid>
      <w:tr>
        <w:trPr>
          <w:cantSplit w:val="true"/>
        </w:trPr>
        <w:tc>
          <w:tcPr>
            <w:tcW w:w="63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Demontaż źródła ciepła </w:t>
            </w:r>
          </w:p>
        </w:tc>
        <w:tc>
          <w:tcPr>
            <w:tcW w:w="294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Liczba wyłączonych z użytku źródeł ciepła na paliwo stałe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637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l-PL" w:eastAsia="en-US" w:bidi="ar-SA"/>
              </w:rPr>
              <w:t xml:space="preserve">Rodzaje wyłączonych z użytku nieefektywnych źródeł ciepła na paliwo stałe (np. kominek, piec kaflowy, kocioł na węgiel, biomasę,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l-PL" w:eastAsia="en-US" w:bidi="ar-SA"/>
              </w:rPr>
              <w:t>piec wolnostojący typu koza, trzon kuchenny)</w:t>
            </w:r>
          </w:p>
        </w:tc>
        <w:tc>
          <w:tcPr>
            <w:tcW w:w="2942" w:type="dxa"/>
            <w:vMerge w:val="continue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6379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942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tbl>
      <w:tblPr>
        <w:tblStyle w:val="Tabela-Siatka"/>
        <w:tblW w:w="938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4"/>
        <w:gridCol w:w="1985"/>
        <w:gridCol w:w="2836"/>
      </w:tblGrid>
      <w:tr>
        <w:trPr>
          <w:trHeight w:val="324" w:hRule="atLeast"/>
          <w:cantSplit w:val="true"/>
        </w:trPr>
        <w:tc>
          <w:tcPr>
            <w:tcW w:w="9385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Zakup i montaż nowego źródła ciepła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4564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l-PL" w:eastAsia="en-US" w:bidi="ar-SA"/>
              </w:rPr>
              <w:t>Rodzaj nowego źródła ciepła – wpisać zgodnie z kategorią kosztów kwalifikowanych</w:t>
            </w:r>
          </w:p>
        </w:tc>
        <w:tc>
          <w:tcPr>
            <w:tcW w:w="4821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456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Producent</w:t>
            </w:r>
          </w:p>
        </w:tc>
        <w:tc>
          <w:tcPr>
            <w:tcW w:w="198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Model</w:t>
            </w:r>
          </w:p>
        </w:tc>
        <w:tc>
          <w:tcPr>
            <w:tcW w:w="283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Moc</w:t>
            </w:r>
          </w:p>
        </w:tc>
      </w:tr>
      <w:tr>
        <w:trPr>
          <w:trHeight w:val="372" w:hRule="atLeast"/>
        </w:trPr>
        <w:tc>
          <w:tcPr>
            <w:tcW w:w="4564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85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6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654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>TAK/NIE/NIE DOTYCZY</w:t>
            </w:r>
          </w:p>
        </w:tc>
      </w:tr>
      <w:tr>
        <w:trPr>
          <w:trHeight w:val="372" w:hRule="atLeast"/>
        </w:trPr>
        <w:tc>
          <w:tcPr>
            <w:tcW w:w="6549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W  przypadku kotła na biomasę potwierdzam, że zamontowany kocioł nie posiada rusztu awaryjnego lub przedpaleniska.</w:t>
            </w:r>
          </w:p>
        </w:tc>
        <w:tc>
          <w:tcPr>
            <w:tcW w:w="2836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6549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W przypadku kotła zgazowującego drewno potwierdzam, że został on zamontowany wraz ze zbiornikiem akumulacyjnym/ buforowym/zbiornikiem cwu, którego minimalna bezpieczna pojemność jest zgodna wymaganiami technicznymi określonymi w Załączniku nr 2, 2a albo 2b do Programu</w:t>
            </w:r>
          </w:p>
        </w:tc>
        <w:tc>
          <w:tcPr>
            <w:tcW w:w="2836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6549" w:type="dxa"/>
            <w:gridSpan w:val="2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W przypadku kotła na pellet drzewny/ kotła zgazowującego drewno , potwierdzam, że zamontowany kocioł  jest przeznaczony wyłącznie do spalania biomasy w formie pelletu drzewnego /do zgazowania biomasy w formie drewna kawałkowego albo do spalania biomasy w formie pelletu drzewnego oraz zgazowania biomasy w formie drewna kawałkowego. .</w:t>
            </w:r>
          </w:p>
        </w:tc>
        <w:tc>
          <w:tcPr>
            <w:tcW w:w="2836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tbl>
      <w:tblPr>
        <w:tblStyle w:val="Tabela-Siatka"/>
        <w:tblpPr w:bottomFromText="0" w:horzAnchor="margin" w:leftFromText="141" w:rightFromText="141" w:tblpX="-68" w:tblpY="100" w:topFromText="0" w:vertAnchor="text"/>
        <w:tblW w:w="946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77"/>
        <w:gridCol w:w="1702"/>
        <w:gridCol w:w="1985"/>
      </w:tblGrid>
      <w:tr>
        <w:trPr/>
        <w:tc>
          <w:tcPr>
            <w:tcW w:w="57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color w:val="000000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pl-PL" w:eastAsia="en-US" w:bidi="ar-SA"/>
              </w:rPr>
              <w:t xml:space="preserve">Zakup i montaż instalacji centralnego ogrzewania, ciepłej wody użytkowej, przyłącza, instalacji wewnętrznej od przyłącza do źródła ciepła, wentylacji mechanicznej z odzyskiem ciepła.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702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Model, moc, producent</w:t>
            </w:r>
          </w:p>
          <w:p>
            <w:pPr>
              <w:pStyle w:val="Normal"/>
              <w:widowControl/>
              <w:spacing w:lineRule="auto" w:line="240" w:before="0" w:after="0"/>
              <w:ind w:left="-78" w:right="-138" w:hanging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16"/>
                <w:szCs w:val="16"/>
                <w:lang w:val="pl-PL" w:eastAsia="en-US" w:bidi="ar-SA"/>
              </w:rPr>
              <w:t xml:space="preserve">(dotyczy urządzeń wchodzących w skład c.o./c.w.u. oraz urządzeń dotyczących wentylacji np. pomp ciepła do c.w.u., kolektorów słonecznych) </w:t>
            </w:r>
          </w:p>
        </w:tc>
        <w:tc>
          <w:tcPr>
            <w:tcW w:w="198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 xml:space="preserve">Liczba podstawowych elementów np. grzejników/urządzeń/instalacji </w:t>
            </w:r>
          </w:p>
        </w:tc>
      </w:tr>
      <w:tr>
        <w:trPr/>
        <w:tc>
          <w:tcPr>
            <w:tcW w:w="57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l-PL" w:eastAsia="en-US" w:bidi="ar-SA"/>
              </w:rPr>
              <w:t xml:space="preserve">Rodzaj zamontowanej instalacji </w:t>
            </w:r>
          </w:p>
        </w:tc>
        <w:tc>
          <w:tcPr>
            <w:tcW w:w="1702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8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619" w:hRule="atLeast"/>
        </w:trPr>
        <w:tc>
          <w:tcPr>
            <w:tcW w:w="5777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Np.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l-PL" w:eastAsia="en-US" w:bidi="ar-SA"/>
              </w:rPr>
              <w:t xml:space="preserve">a) pompa ciepła c.w.u. [model, moc, producent]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l-PL" w:eastAsia="en-US" w:bidi="ar-SA"/>
              </w:rPr>
              <w:t>b) kolektory słoneczne [producent, rodzaj, powierzchnia]</w:t>
            </w:r>
          </w:p>
          <w:p>
            <w:pPr>
              <w:pStyle w:val="Normal"/>
              <w:widowControl/>
              <w:spacing w:lineRule="auto" w:line="240" w:before="0" w:after="0"/>
              <w:ind w:left="175" w:hanging="175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l-PL" w:eastAsia="en-US" w:bidi="ar-SA"/>
              </w:rPr>
              <w:t>c) instalacja wentylacji mechanicznej z rekuperacją [producent, model centrali]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l-PL" w:eastAsia="en-US" w:bidi="ar-SA"/>
              </w:rPr>
              <w:t>d) nowe grzejniki/ogrzewanie podłogowe [liczba szt.]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l-PL" w:eastAsia="en-US" w:bidi="ar-SA"/>
              </w:rPr>
              <w:t>e) przyłącze gazowe [liczba szt.]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pl-PL" w:eastAsia="en-US" w:bidi="ar-SA"/>
              </w:rPr>
              <w:t>f) instalacja wewnętrzna od przyłącza gazowego do kotła [liczba szt.]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val="pl-PL" w:eastAsia="en-US" w:bidi="ar-SA"/>
              </w:rPr>
              <w:t>itp.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702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985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cs="Times New Roman"/>
          <w:b/>
          <w:b/>
        </w:rPr>
      </w:pPr>
      <w:r>
        <w:rPr>
          <w:rFonts w:cs="Times New Roman"/>
          <w:b/>
        </w:rPr>
      </w:r>
    </w:p>
    <w:tbl>
      <w:tblPr>
        <w:tblStyle w:val="Tabela-Siatka"/>
        <w:tblW w:w="932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62"/>
        <w:gridCol w:w="2710"/>
        <w:gridCol w:w="1650"/>
      </w:tblGrid>
      <w:tr>
        <w:trPr>
          <w:cantSplit w:val="true"/>
        </w:trPr>
        <w:tc>
          <w:tcPr>
            <w:tcW w:w="49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HG Mincho Light J" w:cs="Times New Roman"/>
                <w:b/>
                <w:color w:val="000000"/>
                <w:kern w:val="0"/>
                <w:sz w:val="22"/>
                <w:szCs w:val="22"/>
                <w:lang w:val="pl-PL" w:eastAsia="pl-PL" w:bidi="ar-SA"/>
              </w:rPr>
              <w:t>Ocieplenie przegród zewnętrznych i wewnętrznych budynku oddzielających pomieszczenia ogrzewane od środowiska zewnętrznego i od pomieszczeń nieogrzewanych i prace towarzyszące.</w:t>
            </w:r>
            <w:r>
              <w:rPr>
                <w:rStyle w:val="Zakotwiczenieprzypisudolnego"/>
                <w:rFonts w:eastAsia="HG Mincho Light J" w:cs="Times New Roman"/>
                <w:b/>
                <w:color w:val="000000"/>
                <w:kern w:val="0"/>
                <w:sz w:val="22"/>
                <w:szCs w:val="22"/>
                <w:lang w:val="pl-PL" w:eastAsia="pl-PL" w:bidi="ar-SA"/>
              </w:rPr>
              <w:footnoteReference w:id="2"/>
            </w:r>
            <w:r>
              <w:rPr>
                <w:rFonts w:eastAsia="HG Mincho Light J" w:cs="Times New Roman"/>
                <w:b/>
                <w:color w:val="000000"/>
                <w:kern w:val="0"/>
                <w:sz w:val="22"/>
                <w:szCs w:val="22"/>
                <w:lang w:val="pl-PL" w:eastAsia="pl-PL" w:bidi="ar-SA"/>
              </w:rPr>
              <w:t xml:space="preserve"> </w:t>
            </w:r>
          </w:p>
        </w:tc>
        <w:tc>
          <w:tcPr>
            <w:tcW w:w="27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Rodzaj ocieplenia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Powierzchnia ocieplenia [m</w:t>
            </w:r>
            <w:r>
              <w:rPr>
                <w:rFonts w:eastAsia="Calibri" w:cs=""/>
                <w:b/>
                <w:kern w:val="0"/>
                <w:sz w:val="20"/>
                <w:szCs w:val="20"/>
                <w:vertAlign w:val="superscript"/>
                <w:lang w:val="pl-PL" w:eastAsia="en-US" w:bidi="ar-SA"/>
              </w:rPr>
              <w:t>2</w:t>
            </w: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]</w:t>
            </w:r>
          </w:p>
        </w:tc>
      </w:tr>
      <w:tr>
        <w:trPr>
          <w:trHeight w:val="372" w:hRule="atLeast"/>
        </w:trPr>
        <w:tc>
          <w:tcPr>
            <w:tcW w:w="496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pl-PL" w:eastAsia="en-US" w:bidi="ar-SA"/>
              </w:rPr>
              <w:t>Dach/stropodach/strop pod nieogrzewanym poddaszem</w:t>
            </w:r>
          </w:p>
        </w:tc>
        <w:tc>
          <w:tcPr>
            <w:tcW w:w="2710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650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496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pl-PL" w:eastAsia="en-US" w:bidi="ar-SA"/>
              </w:rPr>
              <w:t>Ściany zewnętrzne/przegrody pionowe</w:t>
            </w:r>
          </w:p>
        </w:tc>
        <w:tc>
          <w:tcPr>
            <w:tcW w:w="2710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650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496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pl-PL" w:eastAsia="en-US" w:bidi="ar-SA"/>
              </w:rPr>
              <w:t>Podłoga na gruncie/strop nad piwnicą</w:t>
            </w:r>
          </w:p>
        </w:tc>
        <w:tc>
          <w:tcPr>
            <w:tcW w:w="2710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650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cs="Times New Roman"/>
          <w:b/>
          <w:b/>
        </w:rPr>
      </w:pPr>
      <w:r>
        <w:rPr>
          <w:rFonts w:cs="Times New Roman"/>
          <w:b/>
        </w:rPr>
      </w:r>
    </w:p>
    <w:tbl>
      <w:tblPr>
        <w:tblStyle w:val="Tabela-Siatka"/>
        <w:tblW w:w="937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91"/>
        <w:gridCol w:w="1701"/>
        <w:gridCol w:w="2685"/>
      </w:tblGrid>
      <w:tr>
        <w:trPr>
          <w:cantSplit w:val="true"/>
        </w:trPr>
        <w:tc>
          <w:tcPr>
            <w:tcW w:w="49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Zakup i montaż stolarki okiennej i drzwiowej oraz bram garażowych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Powierzchnia stolarki [m</w:t>
            </w:r>
            <w:r>
              <w:rPr>
                <w:rFonts w:eastAsia="Calibri" w:cs=""/>
                <w:b/>
                <w:kern w:val="0"/>
                <w:sz w:val="20"/>
                <w:szCs w:val="20"/>
                <w:vertAlign w:val="superscript"/>
                <w:lang w:val="pl-PL" w:eastAsia="en-US" w:bidi="ar-SA"/>
              </w:rPr>
              <w:t>2</w:t>
            </w: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]</w:t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-78" w:right="-115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Stolarka okienna lub drzwiowa została zamontowana w pomieszczeniach ogrzewanych i spełnia wymagania WT2021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(wpisać TAK lub NIE</w:t>
            </w:r>
            <w:r>
              <w:rPr>
                <w:rStyle w:val="Zakotwiczenieprzypisudolnego"/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footnoteReference w:id="3"/>
            </w:r>
            <w:r>
              <w:rPr>
                <w:rFonts w:eastAsia="Calibri" w:cs=""/>
                <w:b/>
                <w:kern w:val="0"/>
                <w:sz w:val="20"/>
                <w:szCs w:val="20"/>
                <w:lang w:val="pl-PL" w:eastAsia="en-US" w:bidi="ar-SA"/>
              </w:rPr>
              <w:t>)</w:t>
            </w:r>
          </w:p>
        </w:tc>
      </w:tr>
      <w:tr>
        <w:trPr>
          <w:trHeight w:val="372" w:hRule="atLeast"/>
        </w:trPr>
        <w:tc>
          <w:tcPr>
            <w:tcW w:w="499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pl-PL" w:eastAsia="en-US" w:bidi="ar-SA"/>
              </w:rPr>
              <w:t>Stolarka okienna</w:t>
            </w:r>
          </w:p>
        </w:tc>
        <w:tc>
          <w:tcPr>
            <w:tcW w:w="170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685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499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Cs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pl-PL" w:eastAsia="en-US" w:bidi="ar-SA"/>
              </w:rPr>
              <w:t xml:space="preserve">Stolarka drzwiowa </w:t>
            </w:r>
          </w:p>
        </w:tc>
        <w:tc>
          <w:tcPr>
            <w:tcW w:w="170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685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499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0"/>
                <w:szCs w:val="20"/>
                <w:lang w:val="pl-PL" w:eastAsia="en-US" w:bidi="ar-SA"/>
              </w:rPr>
              <w:t>Bramy garażowe</w:t>
            </w:r>
          </w:p>
        </w:tc>
        <w:tc>
          <w:tcPr>
            <w:tcW w:w="170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685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spacing w:lineRule="auto" w:line="240" w:before="0" w:after="60"/>
        <w:rPr>
          <w:rFonts w:ascii="Calibri" w:hAnsi="Calibri" w:eastAsia="Calibri" w:cs="Times New Roman"/>
          <w:b/>
          <w:b/>
          <w:color w:val="000000"/>
          <w:sz w:val="20"/>
          <w:szCs w:val="20"/>
        </w:rPr>
      </w:pPr>
      <w:r>
        <w:rPr>
          <w:rFonts w:eastAsia="Calibri" w:cs="Times New Roman"/>
          <w:b/>
          <w:color w:val="000000"/>
          <w:sz w:val="20"/>
          <w:szCs w:val="20"/>
        </w:rPr>
        <w:t xml:space="preserve">Oświadczenia Wykonawcy: 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5" w:hanging="425"/>
        <w:jc w:val="both"/>
        <w:rPr>
          <w:rFonts w:ascii="Calibri" w:hAnsi="Calibri"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Stwierdzam, że prace objęte protokołem, zostały wykonane zgodnie z warunkami pozwolenia na budowę oraz dokumentacją projektową (jeśli dotyczy), przepisami prawa w tym prawa budowlanego i obowiązującymi Polskimi Normami.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6" w:hanging="426"/>
        <w:jc w:val="both"/>
        <w:rPr>
          <w:rFonts w:ascii="Calibri" w:hAnsi="Calibri" w:eastAsia="Calibri" w:cs="Times New Roman"/>
          <w:color w:val="000000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Zakres rzeczowy</w:t>
      </w:r>
      <w:r>
        <w:rPr>
          <w:rFonts w:cs="Times New Roman"/>
          <w:color w:val="000000"/>
          <w:sz w:val="20"/>
          <w:szCs w:val="20"/>
        </w:rPr>
        <w:t xml:space="preserve"> prac</w:t>
      </w:r>
      <w:r>
        <w:rPr>
          <w:rFonts w:eastAsia="Calibri" w:cs="Times New Roman"/>
          <w:sz w:val="20"/>
          <w:szCs w:val="20"/>
        </w:rPr>
        <w:t xml:space="preserve"> objęty niniejszym protokołem odpowiada przeznaczeniu, któremu ma służyć, został zamontowany i uruchomiony w budynku/lokalu mieszkalnym znajdującym się pod adresem wskazanym powyżej w części A. </w:t>
      </w:r>
      <w:r>
        <w:rPr>
          <w:rFonts w:eastAsia="Calibri" w:cs="Times New Roman"/>
          <w:i/>
          <w:sz w:val="20"/>
          <w:szCs w:val="20"/>
        </w:rPr>
        <w:t>Dane ogólne</w:t>
      </w:r>
      <w:r>
        <w:rPr>
          <w:rFonts w:eastAsia="Calibri" w:cs="Times New Roman"/>
          <w:sz w:val="20"/>
          <w:szCs w:val="20"/>
        </w:rPr>
        <w:t xml:space="preserve"> i jest gotowy do eksploatacji.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5" w:hanging="425"/>
        <w:jc w:val="both"/>
        <w:rPr>
          <w:rFonts w:ascii="Calibri" w:hAnsi="Calibri"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Odbiorca prac otrzymał gwarancję jakości producenta dla urządzeń objętych niniejszym protokołem.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5" w:hanging="425"/>
        <w:jc w:val="both"/>
        <w:rPr>
          <w:rFonts w:ascii="Calibri" w:hAnsi="Calibri"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Obiorca prac otrzymał odpowiednie certyfikaty/świadectwa, etykiety/karty produktu/atesty wyrobów budowlanych i urządzeń.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5" w:hanging="425"/>
        <w:jc w:val="both"/>
        <w:rPr>
          <w:rFonts w:ascii="Calibri" w:hAnsi="Calibri"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Wszystkie urządzenia oraz materiały, które wskazano w niniejszym protokole zostały zamontowane jako fabrycznie nowe, dopuszczone do obrotu oraz w przypadku gdy wynika to z obowiązujących przepisów prawa - posiadają deklaracje zgodności urządzeń z przepisami z zakresu bezpieczeństwa produktu (oznaczenia „CE” lub „B”).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5" w:hanging="425"/>
        <w:jc w:val="both"/>
        <w:rPr>
          <w:rFonts w:ascii="Calibri" w:hAnsi="Calibri" w:eastAsia="Calibri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Oświadczam, że informacje zawarte w protokole odbioru prac, są prawdziwe oraz zgodne ze stanem faktycznym i prawnym. Znane mi są skutki składania fałszywych oświadczeń, wynikające z art.297 § 1 ustawy z dnia 6 czerwca 1997r. Kodeks karny. </w:t>
      </w:r>
    </w:p>
    <w:p>
      <w:pPr>
        <w:pStyle w:val="Normal"/>
        <w:spacing w:lineRule="auto" w:line="240" w:before="0" w:after="60"/>
        <w:jc w:val="both"/>
        <w:rPr>
          <w:rFonts w:ascii="Calibri" w:hAnsi="Calibri"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</w:r>
    </w:p>
    <w:p>
      <w:pPr>
        <w:pStyle w:val="Normal"/>
        <w:spacing w:lineRule="auto" w:line="240" w:before="0" w:after="60"/>
        <w:jc w:val="both"/>
        <w:rPr>
          <w:rFonts w:ascii="Calibri" w:hAnsi="Calibri"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</w:r>
    </w:p>
    <w:p>
      <w:pPr>
        <w:pStyle w:val="Normal"/>
        <w:spacing w:lineRule="auto" w:line="240" w:before="240" w:after="0"/>
        <w:ind w:left="3540" w:hanging="0"/>
        <w:jc w:val="center"/>
        <w:rPr>
          <w:rFonts w:cs="Times New Roman"/>
          <w:b/>
          <w:b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..................................................................................... </w:t>
        <w:br/>
      </w:r>
      <w:r>
        <w:rPr>
          <w:rFonts w:cs="Times New Roman"/>
          <w:sz w:val="20"/>
          <w:szCs w:val="20"/>
          <w:vertAlign w:val="superscript"/>
        </w:rPr>
        <w:t>(czytelny podpis Wykonawcy, pieczęć, data)</w:t>
      </w:r>
    </w:p>
    <w:p>
      <w:pPr>
        <w:pStyle w:val="Normal"/>
        <w:spacing w:lineRule="auto" w:line="240" w:before="0" w:after="60"/>
        <w:rPr>
          <w:rFonts w:ascii="Calibri" w:hAnsi="Calibri" w:eastAsia="Calibri" w:cs="Times New Roman"/>
          <w:b/>
          <w:b/>
          <w:color w:val="000000"/>
          <w:sz w:val="20"/>
          <w:szCs w:val="20"/>
        </w:rPr>
      </w:pPr>
      <w:r>
        <w:rPr>
          <w:rFonts w:eastAsia="Calibri" w:cs="Times New Roman"/>
          <w:b/>
          <w:color w:val="000000"/>
          <w:sz w:val="20"/>
          <w:szCs w:val="20"/>
        </w:rPr>
      </w:r>
    </w:p>
    <w:p>
      <w:pPr>
        <w:pStyle w:val="Normal"/>
        <w:spacing w:lineRule="auto" w:line="240" w:before="0" w:after="60"/>
        <w:rPr>
          <w:rFonts w:ascii="Calibri" w:hAnsi="Calibri" w:eastAsia="Calibri" w:cs="Times New Roman"/>
          <w:b/>
          <w:b/>
          <w:color w:val="000000"/>
          <w:sz w:val="20"/>
          <w:szCs w:val="20"/>
        </w:rPr>
      </w:pPr>
      <w:r>
        <w:rPr>
          <w:rFonts w:eastAsia="Calibri" w:cs="Times New Roman"/>
          <w:b/>
          <w:color w:val="000000"/>
          <w:sz w:val="20"/>
          <w:szCs w:val="20"/>
        </w:rPr>
        <w:t xml:space="preserve">Oświadczenia Beneficjenta: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938" w:leader="none"/>
        </w:tabs>
        <w:spacing w:lineRule="auto" w:line="240" w:before="0" w:after="0"/>
        <w:ind w:left="426" w:hanging="360"/>
        <w:contextualSpacing/>
        <w:jc w:val="both"/>
        <w:rPr>
          <w:rFonts w:cs="Times New Roman"/>
          <w:b/>
          <w:b/>
          <w:sz w:val="20"/>
          <w:szCs w:val="20"/>
        </w:rPr>
      </w:pPr>
      <w:r>
        <w:rPr>
          <w:rFonts w:cs="Times New Roman"/>
          <w:sz w:val="20"/>
          <w:szCs w:val="20"/>
        </w:rPr>
        <w:t>Posiadam stosowne uprawnienia/kwalifikacje do zamontowania i uruchomienia nowego źródła ciepła objętego programem priorytetowym „Czyste Powietrze” (dotyczy przypadku, gdy Beneficjent własnymi siłami montuje i uruchamia zakupione z Programu źródło ciepła)</w:t>
      </w:r>
      <w:r>
        <w:rPr>
          <w:rStyle w:val="Zakotwiczenieprzypisudolnego"/>
          <w:rFonts w:cs="Times New Roman"/>
          <w:sz w:val="20"/>
          <w:szCs w:val="20"/>
        </w:rPr>
        <w:footnoteReference w:id="4"/>
      </w:r>
      <w:r>
        <w:rPr>
          <w:rFonts w:cs="Times New Roman"/>
          <w:sz w:val="20"/>
          <w:szCs w:val="20"/>
        </w:rPr>
        <w:t xml:space="preserve">.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938" w:leader="none"/>
        </w:tabs>
        <w:spacing w:lineRule="auto" w:line="240" w:before="0" w:after="0"/>
        <w:ind w:left="426" w:hanging="360"/>
        <w:contextualSpacing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Stwierdzam, że </w:t>
      </w:r>
      <w:r>
        <w:rPr>
          <w:rFonts w:eastAsia="Calibri" w:cs="Times New Roman"/>
          <w:sz w:val="20"/>
          <w:szCs w:val="20"/>
        </w:rPr>
        <w:t>prace objęte protokołem, zostały wykonane zgodnie z umową z wykonawcą /zamówieniem i dokonałem ich odbioru bez zastrzeżeń</w:t>
      </w:r>
      <w:r>
        <w:rPr>
          <w:rStyle w:val="Zakotwiczenieprzypisudolnego"/>
          <w:rFonts w:eastAsia="Calibri" w:cs="Times New Roman"/>
          <w:sz w:val="20"/>
          <w:szCs w:val="20"/>
        </w:rPr>
        <w:footnoteReference w:id="5"/>
      </w:r>
      <w:r>
        <w:rPr>
          <w:rFonts w:eastAsia="Calibri" w:cs="Times New Roman"/>
          <w:sz w:val="20"/>
          <w:szCs w:val="20"/>
        </w:rPr>
        <w:t>.</w:t>
      </w:r>
    </w:p>
    <w:p>
      <w:pPr>
        <w:pStyle w:val="ListParagraph"/>
        <w:numPr>
          <w:ilvl w:val="0"/>
          <w:numId w:val="3"/>
        </w:numPr>
        <w:ind w:left="426" w:hanging="426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Oświadczam, że cały zakres rzeczowy prac objęty niniejszym protokołem dotyczy budynku/lokalu mieszkalnego, w którym realizowane jest przedsięwzięcie objęte dofinansowaniem w ramach Programu priorytetowego „Czyste Powietrze” i należy do zakresu rzeczowego tego przedsięwzięcia.</w:t>
      </w:r>
    </w:p>
    <w:p>
      <w:pPr>
        <w:pStyle w:val="ListParagraph"/>
        <w:numPr>
          <w:ilvl w:val="0"/>
          <w:numId w:val="3"/>
        </w:numPr>
        <w:ind w:left="426" w:hanging="426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Oświadczam, że otrzymałem od wykonawcy certyfikaty/świadectwa, etykiety/karty produktu/atesty wyrobów budowlanych i urządzeń.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938" w:leader="none"/>
        </w:tabs>
        <w:spacing w:lineRule="auto" w:line="240" w:before="0" w:after="0"/>
        <w:ind w:left="426" w:hanging="360"/>
        <w:contextualSpacing/>
        <w:jc w:val="both"/>
        <w:rPr>
          <w:rFonts w:cs="Times New Roman"/>
          <w:b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Oświadczam, że informacje zawarte w protokole odbioru prac są prawdziwe oraz zgodne ze stanem faktycznym i prawnym. Znane mi są skutki składania fałszywych oświadczeń, wynikające z art. 297 § 1 ustawy z dnia 6 czerwca 1997r. Kodeks karny. </w:t>
      </w:r>
    </w:p>
    <w:p>
      <w:pPr>
        <w:pStyle w:val="ListParagraph"/>
        <w:tabs>
          <w:tab w:val="clear" w:pos="708"/>
          <w:tab w:val="left" w:pos="7938" w:leader="none"/>
        </w:tabs>
        <w:spacing w:lineRule="auto" w:line="360" w:before="0" w:after="0"/>
        <w:contextualSpacing/>
        <w:rPr>
          <w:rFonts w:ascii="Calibri" w:hAnsi="Calibri"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left" w:pos="7938" w:leader="none"/>
        </w:tabs>
        <w:spacing w:lineRule="auto" w:line="240" w:before="0" w:after="0"/>
        <w:jc w:val="both"/>
        <w:rPr>
          <w:rFonts w:ascii="Calibri" w:hAnsi="Calibri"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left" w:pos="7938" w:leader="none"/>
        </w:tabs>
        <w:spacing w:lineRule="auto" w:line="240" w:before="0" w:after="0"/>
        <w:jc w:val="both"/>
        <w:rPr>
          <w:rFonts w:ascii="Calibri" w:hAnsi="Calibri"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</w:r>
    </w:p>
    <w:p>
      <w:pPr>
        <w:pStyle w:val="ListParagraph"/>
        <w:tabs>
          <w:tab w:val="clear" w:pos="708"/>
          <w:tab w:val="left" w:pos="7938" w:leader="none"/>
        </w:tabs>
        <w:spacing w:lineRule="auto" w:line="240" w:before="0" w:after="0"/>
        <w:ind w:left="426" w:hanging="0"/>
        <w:contextualSpacing/>
        <w:jc w:val="both"/>
        <w:rPr>
          <w:rFonts w:ascii="Calibri" w:hAnsi="Calibri" w:cs="Times New Roman"/>
          <w:sz w:val="24"/>
          <w:szCs w:val="24"/>
          <w:vertAlign w:val="superscript"/>
        </w:rPr>
      </w:pPr>
      <w:r>
        <w:rPr>
          <w:rFonts w:cs="Times New Roman"/>
          <w:color w:val="000000"/>
          <w:sz w:val="20"/>
          <w:szCs w:val="20"/>
        </w:rPr>
        <w:t xml:space="preserve">                                                                                  </w:t>
      </w:r>
      <w:r>
        <w:rPr>
          <w:rFonts w:cs="Times New Roman"/>
          <w:color w:val="000000"/>
          <w:sz w:val="20"/>
          <w:szCs w:val="20"/>
        </w:rPr>
        <w:t xml:space="preserve">..................................................................................... </w:t>
        <w:br/>
      </w:r>
      <w:r>
        <w:rPr>
          <w:rFonts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(czytelny podpis Beneficjenta, data)</w:t>
      </w:r>
    </w:p>
    <w:p>
      <w:pPr>
        <w:pStyle w:val="Normal"/>
        <w:tabs>
          <w:tab w:val="clear" w:pos="708"/>
          <w:tab w:val="left" w:pos="7938" w:leader="none"/>
        </w:tabs>
        <w:spacing w:lineRule="auto" w:line="360" w:before="0" w:after="0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Normal"/>
        <w:spacing w:lineRule="auto" w:line="259" w:before="0" w:after="31"/>
        <w:ind w:left="192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59" w:before="0" w:after="31"/>
        <w:ind w:left="192" w:hanging="0"/>
        <w:jc w:val="center"/>
        <w:rPr/>
      </w:pPr>
      <w:r>
        <w:rPr>
          <w:b/>
        </w:rPr>
        <w:t xml:space="preserve">Klauzula informacyjna o przetwarzaniu danych osobowych Wykonawcy </w:t>
        <w:br/>
        <w:t xml:space="preserve">przez Wojewódzki Fundusz Ochrony Środowiska i Gospodarki Wodnej w </w:t>
      </w:r>
      <w:r>
        <w:rPr>
          <w:b/>
        </w:rPr>
        <w:t>Gdańsku</w:t>
      </w:r>
    </w:p>
    <w:p>
      <w:pPr>
        <w:pStyle w:val="Normal"/>
        <w:spacing w:lineRule="auto" w:line="259" w:before="0" w:after="0"/>
        <w:jc w:val="center"/>
        <w:rPr/>
      </w:pPr>
      <w:r>
        <w:rPr>
          <w:b/>
        </w:rPr>
        <w:t xml:space="preserve"> </w:t>
      </w:r>
    </w:p>
    <w:p>
      <w:pPr>
        <w:pStyle w:val="Normal"/>
        <w:spacing w:lineRule="auto" w:line="259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14 Rozporządzenia Parlamentu Europejskiego i Rady (UE) 2016/679 w sprawie ochrony osób fizycznych w związku z przetwarzaniem danych osobowych i w sprawie swobodnego przepływu takich danych oraz uchylenia Dyrektywy 95/46 z dnia 27 kwietnia 2016 r. (Dz. Urz. UE L 119 z 04.05.2016), zwanego dalej „RODO”, Wojewódzki Fundusz Ochrony Środowiska i Gospodarki Wodnej w </w:t>
      </w:r>
      <w:r>
        <w:rPr>
          <w:sz w:val="20"/>
          <w:szCs w:val="20"/>
        </w:rPr>
        <w:t>Gdańsku</w:t>
      </w:r>
      <w:r>
        <w:rPr>
          <w:sz w:val="20"/>
          <w:szCs w:val="20"/>
        </w:rPr>
        <w:t xml:space="preserve"> informuje, że:  </w:t>
      </w:r>
    </w:p>
    <w:p>
      <w:pPr>
        <w:pStyle w:val="Normal"/>
        <w:numPr>
          <w:ilvl w:val="0"/>
          <w:numId w:val="4"/>
        </w:numPr>
        <w:spacing w:lineRule="auto" w:line="240" w:before="60" w:after="0"/>
        <w:ind w:left="284" w:right="34" w:hanging="284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>Administratorem danych osobowych jest Wojewódzki Fundusz Ochrony Środowiska i Gospodarki Wodnej w </w:t>
      </w:r>
      <w:r>
        <w:rPr>
          <w:sz w:val="20"/>
          <w:szCs w:val="20"/>
        </w:rPr>
        <w:t>Gdańsku</w:t>
      </w:r>
      <w:r>
        <w:rPr>
          <w:sz w:val="20"/>
          <w:szCs w:val="20"/>
        </w:rPr>
        <w:t xml:space="preserve">, ul. </w:t>
      </w:r>
      <w:r>
        <w:rPr>
          <w:sz w:val="20"/>
          <w:szCs w:val="20"/>
        </w:rPr>
        <w:t>Rybaki Górne 8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80-861 Gdańsk</w:t>
      </w:r>
      <w:r>
        <w:rPr>
          <w:sz w:val="20"/>
          <w:szCs w:val="20"/>
        </w:rPr>
        <w:t xml:space="preserve">, tel. </w:t>
      </w:r>
      <w:r>
        <w:rPr>
          <w:sz w:val="20"/>
          <w:szCs w:val="20"/>
        </w:rPr>
        <w:t>58 743 18 31</w:t>
      </w:r>
    </w:p>
    <w:p>
      <w:pPr>
        <w:pStyle w:val="Normal"/>
        <w:numPr>
          <w:ilvl w:val="0"/>
          <w:numId w:val="4"/>
        </w:numPr>
        <w:spacing w:lineRule="auto" w:line="240" w:before="60" w:after="0"/>
        <w:ind w:left="284" w:right="34" w:hanging="284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Powołany jest Inspektor Ochrony Danych, z którym można się skontaktować elektronicznie: </w:t>
      </w:r>
      <w:r>
        <w:rPr>
          <w:sz w:val="20"/>
          <w:szCs w:val="20"/>
        </w:rPr>
        <w:t>fundusz@wfos.gdansk.pl</w:t>
      </w:r>
    </w:p>
    <w:p>
      <w:pPr>
        <w:pStyle w:val="Normal"/>
        <w:numPr>
          <w:ilvl w:val="0"/>
          <w:numId w:val="4"/>
        </w:numPr>
        <w:spacing w:lineRule="auto" w:line="240" w:before="60" w:after="0"/>
        <w:ind w:left="284" w:right="34" w:hanging="284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Pani/Pana dane osobowe będą przetwarzane na podstawie art. 6 ust. 1: lit c) RODO (tzn. przetwarzanie jest niezbędne do wypełnienia obowiązku prawnego wynikającego w szczególności z ustawy Prawo Ochrony Środowiska) oraz lit e) RODO (tzn. przetwarzanie jest niezbędne do wykonania zadania realizowanego w interesie publicznym) w celu udzielenia pomocy finansowej w związku z realizacją Programu Priorytetowego „Czyste Powietrze”.  </w:t>
      </w:r>
    </w:p>
    <w:p>
      <w:pPr>
        <w:pStyle w:val="Normal"/>
        <w:numPr>
          <w:ilvl w:val="0"/>
          <w:numId w:val="4"/>
        </w:numPr>
        <w:spacing w:lineRule="auto" w:line="240" w:before="60" w:after="0"/>
        <w:ind w:left="284" w:right="34" w:hanging="284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Pani/Pana dane osobowe otrzymaliśmy od Wnioskodawcy, z którym zawarł/a Pani/Pan umowę określoną w pkt 3 powyżej. Administrator będzie przetwarzał następujące kategorie danych tj. imię i nazwisko, nr telefonu, adres e-mail, NIP, KRS, CEIDG, nr rachunku bankowego.  </w:t>
      </w:r>
    </w:p>
    <w:p>
      <w:pPr>
        <w:pStyle w:val="Normal"/>
        <w:numPr>
          <w:ilvl w:val="0"/>
          <w:numId w:val="4"/>
        </w:numPr>
        <w:spacing w:lineRule="auto" w:line="240" w:before="60" w:after="0"/>
        <w:ind w:left="284" w:right="34" w:hanging="284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Pani/Pana dane osobowe będą przetwarzane przez okres realizacji zadań, o których mowa w pkt 3) oraz przez okres wynikający z obowiązujących w tym zakresie przepisów archiwizacyjnych.  </w:t>
      </w:r>
    </w:p>
    <w:p>
      <w:pPr>
        <w:pStyle w:val="Normal"/>
        <w:numPr>
          <w:ilvl w:val="0"/>
          <w:numId w:val="4"/>
        </w:numPr>
        <w:spacing w:lineRule="auto" w:line="240" w:before="60" w:after="0"/>
        <w:ind w:left="284" w:right="34" w:hanging="284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Prawo dostępu do treści swoich danych oraz prawo ich sprostowania, ograniczenia przetwarzania, prawo do przenoszenia danych, prawo wniesienia sprzeciwu, mogą być realizowane w trybie i na zasadach określonych w RODO.  </w:t>
      </w:r>
    </w:p>
    <w:p>
      <w:pPr>
        <w:pStyle w:val="Normal"/>
        <w:numPr>
          <w:ilvl w:val="0"/>
          <w:numId w:val="4"/>
        </w:numPr>
        <w:spacing w:lineRule="auto" w:line="240" w:before="60" w:after="0"/>
        <w:ind w:left="284" w:right="34" w:hanging="284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Ma Pani/Pan prawo wniesienia skargi do organu nadzorczego, którym jest Prezes Urzędu Ochrony Danych Osobowych, gdy uzna Pani/Pan, iż przetwarzanie danych osobowych Pani/Pana dotyczących narusza przepisy RODO.  </w:t>
      </w:r>
    </w:p>
    <w:p>
      <w:pPr>
        <w:pStyle w:val="Normal"/>
        <w:numPr>
          <w:ilvl w:val="0"/>
          <w:numId w:val="4"/>
        </w:numPr>
        <w:spacing w:lineRule="auto" w:line="240" w:before="60" w:after="0"/>
        <w:ind w:left="284" w:right="34" w:hanging="284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Podanie przez Panią/Pana danych osobowych jest dobrowolne, ale niezbędne w celu realizacji zadań, o których mowa w pkt 3).  </w:t>
      </w:r>
    </w:p>
    <w:p>
      <w:pPr>
        <w:pStyle w:val="Normal"/>
        <w:numPr>
          <w:ilvl w:val="0"/>
          <w:numId w:val="4"/>
        </w:numPr>
        <w:spacing w:lineRule="auto" w:line="240" w:before="60" w:after="0"/>
        <w:ind w:left="284" w:right="34" w:hanging="284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Odbiorcami Pani/Pana danych osobowych będą te podmioty, którym administrator danych osobowych ma obowiązek przekazywać dane na gruncie obowiązujących przepisów prawa oraz podmioty przetwarzające dane osobowe na zlecenie administratora danych osobowych, w związku z wykonywaniem powierzonego im zadania w drodze zawartej umowy lub porozumienia, m.in. dostawcy IT.  </w:t>
      </w:r>
    </w:p>
    <w:p>
      <w:pPr>
        <w:pStyle w:val="Normal"/>
        <w:numPr>
          <w:ilvl w:val="0"/>
          <w:numId w:val="4"/>
        </w:numPr>
        <w:spacing w:lineRule="auto" w:line="240" w:before="60" w:after="0"/>
        <w:ind w:left="284" w:right="34" w:hanging="284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Pani/Pana dane nie będą poddane zautomatyzowanemu podejmowaniu decyzji. </w:t>
      </w:r>
    </w:p>
    <w:p>
      <w:pPr>
        <w:pStyle w:val="Normal"/>
        <w:numPr>
          <w:ilvl w:val="0"/>
          <w:numId w:val="4"/>
        </w:numPr>
        <w:spacing w:lineRule="auto" w:line="240" w:before="60" w:after="0"/>
        <w:ind w:left="284" w:right="34" w:hanging="284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Pani/Pana dane nie będą przekazane odbiorcom w państwach znajdujących się poza Unią Europejską i Europejskim Obszarem Gospodarczym lub do organizacji międzynarodowej. </w:t>
      </w:r>
    </w:p>
    <w:sectPr>
      <w:headerReference w:type="default" r:id="rId3"/>
      <w:footerReference w:type="default" r:id="rId4"/>
      <w:footnotePr>
        <w:numFmt w:val="decimal"/>
      </w:footnotePr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Verdan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Thorndale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430863055"/>
    </w:sdtPr>
    <w:sdtContent>
      <w:p>
        <w:pPr>
          <w:pStyle w:val="Stopka"/>
          <w:rPr>
            <w:sz w:val="18"/>
          </w:rPr>
        </w:pPr>
        <w:r>
          <w:drawing>
            <wp:anchor behindDoc="1" distT="0" distB="0" distL="0" distR="0" simplePos="0" locked="0" layoutInCell="0" allowOverlap="1" relativeHeight="6">
              <wp:simplePos x="0" y="0"/>
              <wp:positionH relativeFrom="column">
                <wp:posOffset>3851910</wp:posOffset>
              </wp:positionH>
              <wp:positionV relativeFrom="paragraph">
                <wp:posOffset>-161290</wp:posOffset>
              </wp:positionV>
              <wp:extent cx="2070100" cy="442595"/>
              <wp:effectExtent l="0" t="0" r="0" b="0"/>
              <wp:wrapNone/>
              <wp:docPr id="2" name="Obraz 9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9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70100" cy="4425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sz w:val="16"/>
          </w:rPr>
          <w:t>wersja 3</w:t>
        </w:r>
        <w:r>
          <w:rPr>
            <w:sz w:val="18"/>
          </w:rPr>
          <w:tab/>
        </w:r>
        <w:r>
          <w:rPr>
            <w:sz w:val="18"/>
          </w:rPr>
          <w:fldChar w:fldCharType="begin"/>
        </w:r>
        <w:r>
          <w:rPr>
            <w:sz w:val="18"/>
          </w:rPr>
          <w:instrText> PAGE </w:instrText>
        </w:r>
        <w:r>
          <w:rPr>
            <w:sz w:val="18"/>
          </w:rPr>
          <w:fldChar w:fldCharType="separate"/>
        </w:r>
        <w:r>
          <w:rPr>
            <w:sz w:val="18"/>
          </w:rPr>
          <w:t>5</w:t>
        </w:r>
        <w:r>
          <w:rPr>
            <w:sz w:val="18"/>
          </w:rPr>
          <w:fldChar w:fldCharType="end"/>
        </w:r>
        <w:r>
          <w:rPr>
            <w:sz w:val="18"/>
          </w:rPr>
          <w:tab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widowControl w:val="false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Dopuszcza się docieplenie przegród zewnętrznych pionowych sąsiadujących z pomieszczeniami nieogrzewanymi, jak również ścian fundamentowych w celu zachowania ciągłości izolacji termicznej</w:t>
      </w:r>
    </w:p>
  </w:footnote>
  <w:footnote w:id="3">
    <w:p>
      <w:pPr>
        <w:pStyle w:val="Przypisdolny"/>
        <w:widowControl w:val="false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Wpisanie odpowiedzi NIE oznacza, że stolarka okienna lub drzwiowa została wykonana niezgodnie z umową o dofinansowanie i nie kwalifikuje się do wypłaty dotacji</w:t>
      </w:r>
    </w:p>
  </w:footnote>
  <w:footnote w:id="4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W tym przypadku należy również podpisać oświadczenia wykonawcy i podpis opatrzyć pieczęcią wskazującą na posiadanie odpowiednich uprawnień/kwalifikacji (np. uprawnienia wynikające z przepisów prawa lub nadane przez producenta danego urządzenia).</w:t>
      </w:r>
    </w:p>
  </w:footnote>
  <w:footnote w:id="5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Niniejszy protokół należy sporządzić po usunięciu stwierdzonych usterek, w sytuacji braku zastrzeżeń ze strony wykonawcy i Beneficjenta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right"/>
      <w:rPr>
        <w:b/>
        <w:b/>
        <w:sz w:val="18"/>
      </w:rPr>
    </w:pPr>
    <w:r>
      <w:rPr>
        <w:b/>
        <w:sz w:val="18"/>
      </w:rPr>
      <w:t xml:space="preserve">Protokół odbioru prac wykonawcy w PP Czyste Powietrze </w:t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decimal"/>
      <w:lvlText w:val="%1"/>
      <w:lvlJc w:val="left"/>
      <w:pPr>
        <w:tabs>
          <w:tab w:val="num" w:pos="432"/>
        </w:tabs>
        <w:ind w:left="432" w:hanging="432"/>
      </w:pPr>
      <w:rPr>
        <w:sz w:val="24"/>
        <w:i w:val="false"/>
        <w:b/>
        <w:szCs w:val="24"/>
        <w:rFonts w:ascii="Times New Roman" w:hAnsi="Times New Roman"/>
      </w:rPr>
    </w:lvl>
    <w:lvl w:ilvl="1">
      <w:start w:val="1"/>
      <w:pStyle w:val="Nagwek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sz w:val="24"/>
        <w:i w:val="false"/>
        <w:b w:val="false"/>
      </w:rPr>
    </w:lvl>
    <w:lvl w:ilvl="2">
      <w:start w:val="1"/>
      <w:pStyle w:val="Nagwek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  <w:i/>
        <w:b/>
      </w:rPr>
    </w:lvl>
    <w:lvl w:ilvl="3">
      <w:start w:val="1"/>
      <w:pStyle w:val="Nagwek4"/>
      <w:numFmt w:val="lowerLetter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pStyle w:val="Nagwek5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pStyle w:val="Nagwek6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pStyle w:val="Nagwek7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pStyle w:val="Nagwek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pStyle w:val="Nagwek9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ascii="Calibri" w:hAnsi="Calibri" w:eastAsia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283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2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autoRedefine/>
    <w:qFormat/>
    <w:rsid w:val="00aa7df0"/>
    <w:pPr>
      <w:keepNext w:val="true"/>
      <w:keepLines/>
      <w:numPr>
        <w:ilvl w:val="0"/>
        <w:numId w:val="1"/>
      </w:numPr>
      <w:tabs>
        <w:tab w:val="clear" w:pos="708"/>
        <w:tab w:val="left" w:pos="851" w:leader="none"/>
      </w:tabs>
      <w:spacing w:lineRule="auto" w:line="288" w:before="60" w:after="60"/>
      <w:ind w:left="0" w:firstLine="360"/>
      <w:jc w:val="both"/>
      <w:outlineLvl w:val="0"/>
    </w:pPr>
    <w:rPr>
      <w:rFonts w:ascii="Times New Roman" w:hAnsi="Times New Roman" w:eastAsia="Times New Roman" w:cs="Times New Roman"/>
      <w:b/>
      <w:spacing w:val="-2"/>
      <w:kern w:val="2"/>
      <w:sz w:val="24"/>
      <w:szCs w:val="24"/>
      <w:lang w:eastAsia="pl-PL"/>
    </w:rPr>
  </w:style>
  <w:style w:type="paragraph" w:styleId="Nagwek2">
    <w:name w:val="Heading 2"/>
    <w:basedOn w:val="Normal"/>
    <w:next w:val="Normal"/>
    <w:link w:val="Nagwek2Znak"/>
    <w:qFormat/>
    <w:rsid w:val="00aa7df0"/>
    <w:pPr>
      <w:keepNext w:val="true"/>
      <w:keepLines/>
      <w:numPr>
        <w:ilvl w:val="1"/>
        <w:numId w:val="1"/>
      </w:numPr>
      <w:tabs>
        <w:tab w:val="clear" w:pos="708"/>
        <w:tab w:val="left" w:pos="851" w:leader="none"/>
      </w:tabs>
      <w:spacing w:lineRule="auto" w:line="240" w:before="60" w:after="60"/>
      <w:jc w:val="both"/>
      <w:outlineLvl w:val="1"/>
    </w:pPr>
    <w:rPr>
      <w:rFonts w:ascii="Verdana" w:hAnsi="Verdana" w:eastAsia="Times New Roman" w:cs="Times New Roman"/>
      <w:b/>
      <w:spacing w:val="-2"/>
      <w:sz w:val="24"/>
      <w:szCs w:val="20"/>
      <w:lang w:eastAsia="pl-PL"/>
    </w:rPr>
  </w:style>
  <w:style w:type="paragraph" w:styleId="Nagwek3">
    <w:name w:val="Heading 3"/>
    <w:basedOn w:val="Normal"/>
    <w:next w:val="Normal"/>
    <w:link w:val="Nagwek3Znak"/>
    <w:qFormat/>
    <w:rsid w:val="00aa7df0"/>
    <w:pPr>
      <w:keepNext w:val="true"/>
      <w:keepLines/>
      <w:numPr>
        <w:ilvl w:val="2"/>
        <w:numId w:val="1"/>
      </w:numPr>
      <w:tabs>
        <w:tab w:val="clear" w:pos="708"/>
        <w:tab w:val="left" w:pos="851" w:leader="none"/>
      </w:tabs>
      <w:spacing w:lineRule="auto" w:line="240" w:before="60" w:after="60"/>
      <w:jc w:val="both"/>
      <w:outlineLvl w:val="2"/>
    </w:pPr>
    <w:rPr>
      <w:rFonts w:ascii="Verdana" w:hAnsi="Verdana" w:eastAsia="Times New Roman" w:cs="Times New Roman"/>
      <w:b/>
      <w:i/>
      <w:spacing w:val="-2"/>
      <w:szCs w:val="20"/>
      <w:lang w:eastAsia="pl-PL"/>
    </w:rPr>
  </w:style>
  <w:style w:type="paragraph" w:styleId="Nagwek4">
    <w:name w:val="Heading 4"/>
    <w:basedOn w:val="Normal"/>
    <w:next w:val="Normal"/>
    <w:link w:val="Nagwek4Znak"/>
    <w:qFormat/>
    <w:rsid w:val="00aa7df0"/>
    <w:pPr>
      <w:keepNext w:val="true"/>
      <w:keepLines/>
      <w:numPr>
        <w:ilvl w:val="3"/>
        <w:numId w:val="1"/>
      </w:numPr>
      <w:spacing w:lineRule="auto" w:line="240" w:before="60" w:after="60"/>
      <w:jc w:val="both"/>
      <w:outlineLvl w:val="3"/>
    </w:pPr>
    <w:rPr>
      <w:rFonts w:ascii="Verdana" w:hAnsi="Verdana" w:eastAsia="Times New Roman" w:cs="Times New Roman"/>
      <w:b/>
      <w:spacing w:val="-2"/>
      <w:szCs w:val="20"/>
      <w:lang w:eastAsia="pl-PL"/>
    </w:rPr>
  </w:style>
  <w:style w:type="paragraph" w:styleId="Nagwek5">
    <w:name w:val="Heading 5"/>
    <w:basedOn w:val="Normal"/>
    <w:next w:val="Normal"/>
    <w:link w:val="Nagwek5Znak"/>
    <w:qFormat/>
    <w:rsid w:val="00aa7df0"/>
    <w:pPr>
      <w:keepLines/>
      <w:numPr>
        <w:ilvl w:val="4"/>
        <w:numId w:val="1"/>
      </w:numPr>
      <w:spacing w:lineRule="auto" w:line="240" w:before="60" w:after="60"/>
      <w:jc w:val="both"/>
      <w:outlineLvl w:val="4"/>
    </w:pPr>
    <w:rPr>
      <w:rFonts w:ascii="Verdana" w:hAnsi="Verdana" w:eastAsia="Times New Roman" w:cs="Times New Roman"/>
      <w:spacing w:val="-2"/>
      <w:szCs w:val="20"/>
      <w:u w:val="single"/>
      <w:lang w:eastAsia="pl-PL"/>
    </w:rPr>
  </w:style>
  <w:style w:type="paragraph" w:styleId="Nagwek6">
    <w:name w:val="Heading 6"/>
    <w:basedOn w:val="Normal"/>
    <w:next w:val="Normal"/>
    <w:link w:val="Nagwek6Znak"/>
    <w:qFormat/>
    <w:rsid w:val="00aa7df0"/>
    <w:pPr>
      <w:keepLines/>
      <w:numPr>
        <w:ilvl w:val="5"/>
        <w:numId w:val="1"/>
      </w:numPr>
      <w:spacing w:lineRule="auto" w:line="240" w:before="60" w:after="60"/>
      <w:jc w:val="both"/>
      <w:outlineLvl w:val="5"/>
    </w:pPr>
    <w:rPr>
      <w:rFonts w:ascii="Verdana" w:hAnsi="Verdana" w:eastAsia="Times New Roman" w:cs="Times New Roman"/>
      <w:i/>
      <w:spacing w:val="-2"/>
      <w:szCs w:val="20"/>
      <w:lang w:eastAsia="pl-PL"/>
    </w:rPr>
  </w:style>
  <w:style w:type="paragraph" w:styleId="Nagwek7">
    <w:name w:val="Heading 7"/>
    <w:basedOn w:val="Normal"/>
    <w:next w:val="Normal"/>
    <w:link w:val="Nagwek7Znak"/>
    <w:qFormat/>
    <w:rsid w:val="00aa7df0"/>
    <w:pPr>
      <w:keepLines/>
      <w:numPr>
        <w:ilvl w:val="6"/>
        <w:numId w:val="1"/>
      </w:numPr>
      <w:spacing w:lineRule="auto" w:line="240" w:before="60" w:after="60"/>
      <w:jc w:val="both"/>
      <w:outlineLvl w:val="6"/>
    </w:pPr>
    <w:rPr>
      <w:rFonts w:ascii="Verdana" w:hAnsi="Verdana" w:eastAsia="Times New Roman" w:cs="Times New Roman"/>
      <w:spacing w:val="-2"/>
      <w:sz w:val="20"/>
      <w:szCs w:val="20"/>
      <w:lang w:eastAsia="pl-PL"/>
    </w:rPr>
  </w:style>
  <w:style w:type="paragraph" w:styleId="Nagwek8">
    <w:name w:val="Heading 8"/>
    <w:basedOn w:val="Normal"/>
    <w:next w:val="Normal"/>
    <w:link w:val="Nagwek8Znak"/>
    <w:qFormat/>
    <w:rsid w:val="00aa7df0"/>
    <w:pPr>
      <w:keepLines/>
      <w:numPr>
        <w:ilvl w:val="7"/>
        <w:numId w:val="1"/>
      </w:numPr>
      <w:spacing w:lineRule="auto" w:line="240" w:before="60" w:after="60"/>
      <w:jc w:val="both"/>
      <w:outlineLvl w:val="7"/>
    </w:pPr>
    <w:rPr>
      <w:rFonts w:ascii="Verdana" w:hAnsi="Verdana" w:eastAsia="Times New Roman" w:cs="Times New Roman"/>
      <w:i/>
      <w:spacing w:val="-2"/>
      <w:sz w:val="20"/>
      <w:szCs w:val="20"/>
      <w:lang w:eastAsia="pl-PL"/>
    </w:rPr>
  </w:style>
  <w:style w:type="paragraph" w:styleId="Nagwek9">
    <w:name w:val="Heading 9"/>
    <w:basedOn w:val="Normal"/>
    <w:next w:val="Normal"/>
    <w:link w:val="Nagwek9Znak"/>
    <w:qFormat/>
    <w:rsid w:val="00aa7df0"/>
    <w:pPr>
      <w:keepLines/>
      <w:numPr>
        <w:ilvl w:val="8"/>
        <w:numId w:val="1"/>
      </w:numPr>
      <w:spacing w:lineRule="auto" w:line="240" w:before="60" w:after="60"/>
      <w:jc w:val="both"/>
      <w:outlineLvl w:val="8"/>
    </w:pPr>
    <w:rPr>
      <w:rFonts w:ascii="Verdana" w:hAnsi="Verdana" w:eastAsia="Times New Roman" w:cs="Times New Roman"/>
      <w:b/>
      <w:i/>
      <w:spacing w:val="-2"/>
      <w:sz w:val="18"/>
      <w:szCs w:val="20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d618b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b57df5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qFormat/>
    <w:rsid w:val="00b57df5"/>
    <w:rPr>
      <w:sz w:val="20"/>
      <w:szCs w:val="20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f35de2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f35de2"/>
    <w:rPr>
      <w:vertAlign w:val="superscript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7c4477"/>
    <w:rPr>
      <w:b/>
      <w:bCs/>
      <w:sz w:val="20"/>
      <w:szCs w:val="20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dc3bed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dc3bed"/>
    <w:rPr/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31525a"/>
    <w:rPr/>
  </w:style>
  <w:style w:type="character" w:styleId="AkapitzlistZnak" w:customStyle="1">
    <w:name w:val="Akapit z listą Znak"/>
    <w:basedOn w:val="DefaultParagraphFont"/>
    <w:link w:val="Akapitzlist"/>
    <w:uiPriority w:val="99"/>
    <w:qFormat/>
    <w:rsid w:val="00601b79"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343db1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343db1"/>
    <w:rPr>
      <w:vertAlign w:val="superscript"/>
    </w:rPr>
  </w:style>
  <w:style w:type="character" w:styleId="Nagwek1Znak" w:customStyle="1">
    <w:name w:val="Nagłówek 1 Znak"/>
    <w:basedOn w:val="DefaultParagraphFont"/>
    <w:link w:val="Nagwek1"/>
    <w:qFormat/>
    <w:rsid w:val="00aa7df0"/>
    <w:rPr>
      <w:rFonts w:ascii="Times New Roman" w:hAnsi="Times New Roman" w:eastAsia="Times New Roman" w:cs="Times New Roman"/>
      <w:b/>
      <w:spacing w:val="-2"/>
      <w:kern w:val="2"/>
      <w:sz w:val="24"/>
      <w:szCs w:val="24"/>
      <w:lang w:eastAsia="pl-PL"/>
    </w:rPr>
  </w:style>
  <w:style w:type="character" w:styleId="Nagwek2Znak" w:customStyle="1">
    <w:name w:val="Nagłówek 2 Znak"/>
    <w:basedOn w:val="DefaultParagraphFont"/>
    <w:link w:val="Nagwek2"/>
    <w:qFormat/>
    <w:rsid w:val="00aa7df0"/>
    <w:rPr>
      <w:rFonts w:ascii="Verdana" w:hAnsi="Verdana" w:eastAsia="Times New Roman" w:cs="Times New Roman"/>
      <w:b/>
      <w:spacing w:val="-2"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link w:val="Nagwek3"/>
    <w:qFormat/>
    <w:rsid w:val="00aa7df0"/>
    <w:rPr>
      <w:rFonts w:ascii="Verdana" w:hAnsi="Verdana" w:eastAsia="Times New Roman" w:cs="Times New Roman"/>
      <w:b/>
      <w:i/>
      <w:spacing w:val="-2"/>
      <w:szCs w:val="20"/>
      <w:lang w:eastAsia="pl-PL"/>
    </w:rPr>
  </w:style>
  <w:style w:type="character" w:styleId="Nagwek4Znak" w:customStyle="1">
    <w:name w:val="Nagłówek 4 Znak"/>
    <w:basedOn w:val="DefaultParagraphFont"/>
    <w:link w:val="Nagwek4"/>
    <w:qFormat/>
    <w:rsid w:val="00aa7df0"/>
    <w:rPr>
      <w:rFonts w:ascii="Verdana" w:hAnsi="Verdana" w:eastAsia="Times New Roman" w:cs="Times New Roman"/>
      <w:b/>
      <w:spacing w:val="-2"/>
      <w:szCs w:val="20"/>
      <w:lang w:eastAsia="pl-PL"/>
    </w:rPr>
  </w:style>
  <w:style w:type="character" w:styleId="Nagwek5Znak" w:customStyle="1">
    <w:name w:val="Nagłówek 5 Znak"/>
    <w:basedOn w:val="DefaultParagraphFont"/>
    <w:link w:val="Nagwek5"/>
    <w:qFormat/>
    <w:rsid w:val="00aa7df0"/>
    <w:rPr>
      <w:rFonts w:ascii="Verdana" w:hAnsi="Verdana" w:eastAsia="Times New Roman" w:cs="Times New Roman"/>
      <w:spacing w:val="-2"/>
      <w:szCs w:val="20"/>
      <w:u w:val="single"/>
      <w:lang w:eastAsia="pl-PL"/>
    </w:rPr>
  </w:style>
  <w:style w:type="character" w:styleId="Nagwek6Znak" w:customStyle="1">
    <w:name w:val="Nagłówek 6 Znak"/>
    <w:basedOn w:val="DefaultParagraphFont"/>
    <w:link w:val="Nagwek6"/>
    <w:qFormat/>
    <w:rsid w:val="00aa7df0"/>
    <w:rPr>
      <w:rFonts w:ascii="Verdana" w:hAnsi="Verdana" w:eastAsia="Times New Roman" w:cs="Times New Roman"/>
      <w:i/>
      <w:spacing w:val="-2"/>
      <w:szCs w:val="20"/>
      <w:lang w:eastAsia="pl-PL"/>
    </w:rPr>
  </w:style>
  <w:style w:type="character" w:styleId="Nagwek7Znak" w:customStyle="1">
    <w:name w:val="Nagłówek 7 Znak"/>
    <w:basedOn w:val="DefaultParagraphFont"/>
    <w:link w:val="Nagwek7"/>
    <w:qFormat/>
    <w:rsid w:val="00aa7df0"/>
    <w:rPr>
      <w:rFonts w:ascii="Verdana" w:hAnsi="Verdana" w:eastAsia="Times New Roman" w:cs="Times New Roman"/>
      <w:spacing w:val="-2"/>
      <w:sz w:val="20"/>
      <w:szCs w:val="20"/>
      <w:lang w:eastAsia="pl-PL"/>
    </w:rPr>
  </w:style>
  <w:style w:type="character" w:styleId="Nagwek8Znak" w:customStyle="1">
    <w:name w:val="Nagłówek 8 Znak"/>
    <w:basedOn w:val="DefaultParagraphFont"/>
    <w:link w:val="Nagwek8"/>
    <w:qFormat/>
    <w:rsid w:val="00aa7df0"/>
    <w:rPr>
      <w:rFonts w:ascii="Verdana" w:hAnsi="Verdana" w:eastAsia="Times New Roman" w:cs="Times New Roman"/>
      <w:i/>
      <w:spacing w:val="-2"/>
      <w:sz w:val="20"/>
      <w:szCs w:val="20"/>
      <w:lang w:eastAsia="pl-PL"/>
    </w:rPr>
  </w:style>
  <w:style w:type="character" w:styleId="Nagwek9Znak" w:customStyle="1">
    <w:name w:val="Nagłówek 9 Znak"/>
    <w:basedOn w:val="DefaultParagraphFont"/>
    <w:link w:val="Nagwek9"/>
    <w:qFormat/>
    <w:rsid w:val="00aa7df0"/>
    <w:rPr>
      <w:rFonts w:ascii="Verdana" w:hAnsi="Verdana" w:eastAsia="Times New Roman" w:cs="Times New Roman"/>
      <w:b/>
      <w:i/>
      <w:spacing w:val="-2"/>
      <w:sz w:val="18"/>
      <w:szCs w:val="20"/>
      <w:lang w:eastAsia="pl-PL"/>
    </w:rPr>
  </w:style>
  <w:style w:type="character" w:styleId="Czeinternetowe">
    <w:name w:val="Łącze internetowe"/>
    <w:basedOn w:val="DefaultParagraphFont"/>
    <w:uiPriority w:val="99"/>
    <w:unhideWhenUsed/>
    <w:rsid w:val="00803ca6"/>
    <w:rPr>
      <w:color w:val="0000FF" w:themeColor="hyperlink"/>
      <w:u w:val="single"/>
    </w:rPr>
  </w:style>
  <w:style w:type="character" w:styleId="Znakiprzypiswdolnych">
    <w:name w:val="Znaki przypisów dolnych"/>
    <w:qFormat/>
    <w:rPr/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31525a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d618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ad618b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pl-PL" w:eastAsia="en-US" w:bidi="ar-SA"/>
    </w:rPr>
  </w:style>
  <w:style w:type="paragraph" w:styleId="Annotationtext">
    <w:name w:val="annotation text"/>
    <w:basedOn w:val="Normal"/>
    <w:link w:val="TekstkomentarzaZnak"/>
    <w:uiPriority w:val="99"/>
    <w:unhideWhenUsed/>
    <w:qFormat/>
    <w:rsid w:val="00b57df5"/>
    <w:pPr>
      <w:spacing w:lineRule="auto" w:line="240" w:before="0" w:after="160"/>
    </w:pPr>
    <w:rPr>
      <w:sz w:val="20"/>
      <w:szCs w:val="20"/>
    </w:rPr>
  </w:style>
  <w:style w:type="paragraph" w:styleId="ListParagraph">
    <w:name w:val="List Paragraph"/>
    <w:basedOn w:val="Normal"/>
    <w:link w:val="AkapitzlistZnak"/>
    <w:uiPriority w:val="34"/>
    <w:qFormat/>
    <w:rsid w:val="00b57df5"/>
    <w:pPr>
      <w:spacing w:before="0" w:after="200"/>
      <w:ind w:left="720" w:hanging="0"/>
      <w:contextualSpacing/>
    </w:pPr>
    <w:rPr/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f35de2"/>
    <w:pPr>
      <w:spacing w:lineRule="auto" w:line="240" w:before="0" w:after="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7c4477"/>
    <w:pPr>
      <w:spacing w:before="0" w:after="200"/>
    </w:pPr>
    <w:rPr>
      <w:b/>
      <w:bCs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dc3be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dc3be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ytutabeli" w:customStyle="1">
    <w:name w:val="Tytuł tabeli"/>
    <w:basedOn w:val="Normal"/>
    <w:qFormat/>
    <w:rsid w:val="0031525a"/>
    <w:pPr>
      <w:widowControl w:val="false"/>
      <w:suppressLineNumbers/>
      <w:suppressAutoHyphens w:val="true"/>
      <w:spacing w:lineRule="auto" w:line="240" w:before="0" w:after="120"/>
      <w:jc w:val="center"/>
    </w:pPr>
    <w:rPr>
      <w:rFonts w:ascii="Thorndale" w:hAnsi="Thorndale" w:eastAsia="HG Mincho Light J" w:cs="Times New Roman"/>
      <w:b/>
      <w:i/>
      <w:color w:val="000000"/>
      <w:sz w:val="24"/>
      <w:szCs w:val="20"/>
      <w:lang w:eastAsia="pl-PL"/>
    </w:rPr>
  </w:style>
  <w:style w:type="paragraph" w:styleId="Zawartotabeli" w:customStyle="1">
    <w:name w:val="Zawartość tabeli"/>
    <w:basedOn w:val="Tretekstu"/>
    <w:qFormat/>
    <w:rsid w:val="0031525a"/>
    <w:pPr>
      <w:widowControl w:val="false"/>
      <w:suppressLineNumbers/>
      <w:suppressAutoHyphens w:val="true"/>
      <w:spacing w:lineRule="auto" w:line="240"/>
    </w:pPr>
    <w:rPr>
      <w:rFonts w:ascii="Thorndale" w:hAnsi="Thorndale" w:eastAsia="HG Mincho Light J" w:cs="Times New Roman"/>
      <w:color w:val="000000"/>
      <w:sz w:val="24"/>
      <w:szCs w:val="20"/>
      <w:lang w:eastAsia="pl-PL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343db1"/>
    <w:pPr>
      <w:spacing w:lineRule="auto" w:line="240" w:before="0" w:after="0"/>
    </w:pPr>
    <w:rPr>
      <w:sz w:val="20"/>
      <w:szCs w:val="20"/>
    </w:rPr>
  </w:style>
  <w:style w:type="paragraph" w:styleId="Revision">
    <w:name w:val="Revision"/>
    <w:uiPriority w:val="99"/>
    <w:semiHidden/>
    <w:qFormat/>
    <w:rsid w:val="00ec7ba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86111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F5AA9-831A-405B-9140-2E0020E9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LibreOffice/7.1.2.2$Windows_X86_64 LibreOffice_project/8a45595d069ef5570103caea1b71cc9d82b2aae4</Application>
  <AppVersion>15.0000</AppVersion>
  <DocSecurity>4</DocSecurity>
  <Pages>5</Pages>
  <Words>1196</Words>
  <Characters>8111</Characters>
  <CharactersWithSpaces>9460</CharactersWithSpaces>
  <Paragraphs>87</Paragraphs>
  <Company>Rycho444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2022-12-22T14:31:00Z</dcterms:created>
  <dc:creator>Andrzej</dc:creator>
  <dc:description/>
  <dc:language>pl-PL</dc:language>
  <cp:lastModifiedBy/>
  <cp:lastPrinted>2023-04-17T15:05:30Z</cp:lastPrinted>
  <dcterms:modified xsi:type="dcterms:W3CDTF">2023-04-17T16:43:11Z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